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630F" w14:textId="7425FA08" w:rsidR="00F51424" w:rsidRDefault="005C5244" w:rsidP="00F51424">
      <w:pPr>
        <w:shd w:val="clear" w:color="auto" w:fill="FFFFFF"/>
        <w:suppressAutoHyphens w:val="0"/>
        <w:autoSpaceDN/>
        <w:spacing w:after="0"/>
        <w:jc w:val="center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Regulamin</w:t>
      </w:r>
      <w:r w:rsidR="00F5142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 xml:space="preserve"> </w:t>
      </w:r>
      <w:r w:rsidRPr="005C524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Radzyńskiej Ligi Szachowej Juniorów</w:t>
      </w:r>
      <w:r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 xml:space="preserve"> </w:t>
      </w:r>
    </w:p>
    <w:p w14:paraId="5D96D863" w14:textId="6040B38F" w:rsidR="005C5244" w:rsidRPr="005C5244" w:rsidRDefault="005C5244" w:rsidP="00F51424">
      <w:pPr>
        <w:shd w:val="clear" w:color="auto" w:fill="FFFFFF"/>
        <w:suppressAutoHyphens w:val="0"/>
        <w:autoSpaceDN/>
        <w:spacing w:after="0"/>
        <w:jc w:val="center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  <w:r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z rocznika</w:t>
      </w:r>
      <w:r w:rsidR="00F5142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 xml:space="preserve"> </w:t>
      </w:r>
      <w:r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20</w:t>
      </w:r>
      <w:r w:rsidR="00F5142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11</w:t>
      </w:r>
      <w:r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 xml:space="preserve"> i młodszych</w:t>
      </w:r>
    </w:p>
    <w:p w14:paraId="5D6845BE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</w:p>
    <w:p w14:paraId="7EF837AF" w14:textId="0B0A8202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1. Turnieje </w:t>
      </w:r>
      <w:r w:rsidR="00F5142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(w sumie 10) </w:t>
      </w: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będą odbywały się w 3 piątek każdego miesiąca od września 202</w:t>
      </w:r>
      <w:r w:rsidR="00F5142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5</w:t>
      </w: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do czerwca 202</w:t>
      </w:r>
      <w:r w:rsidR="00F5142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6</w:t>
      </w: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w Pałacu Potockich. Start godz. 17.00. </w:t>
      </w:r>
    </w:p>
    <w:p w14:paraId="1E12F92C" w14:textId="77777777" w:rsidR="00F51424" w:rsidRDefault="00F5142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</w:p>
    <w:p w14:paraId="137D4018" w14:textId="27CA7C65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2. W turnieju nie pobieramy opłat za wpisowe. Ze względu na pojemność sali obowiązuje limit 40 osób. Decyduje kolejność zgłoszeń.</w:t>
      </w:r>
    </w:p>
    <w:p w14:paraId="3727DC12" w14:textId="77777777" w:rsidR="00F51424" w:rsidRDefault="00F5142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</w:p>
    <w:p w14:paraId="47109496" w14:textId="51A77DDD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3. Turniej podzielony jest na dwie kategorie: klasy 1-3 i 4-8. Wszyscy grają 7 rund tempem </w:t>
      </w:r>
      <w:r w:rsidR="00F5142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7</w:t>
      </w: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min + 5 sekund.</w:t>
      </w:r>
    </w:p>
    <w:p w14:paraId="1C808716" w14:textId="77777777" w:rsidR="00F51424" w:rsidRDefault="00F51424" w:rsidP="001B4CE2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</w:p>
    <w:p w14:paraId="68D4E579" w14:textId="0F326CB1" w:rsidR="001B4CE2" w:rsidRDefault="005C5244" w:rsidP="001B4CE2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4. Do punktacji generalnej będą zawodnikom dodawane duże punkty zdobyte w danym turnieju.</w:t>
      </w:r>
      <w:r w:rsidR="001B4CE2" w:rsidRPr="001B4CE2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</w:t>
      </w:r>
    </w:p>
    <w:p w14:paraId="5419DD66" w14:textId="77777777" w:rsidR="00F51424" w:rsidRDefault="00F51424" w:rsidP="001B4CE2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</w:p>
    <w:p w14:paraId="771285DA" w14:textId="105E74FD" w:rsidR="001B4CE2" w:rsidRPr="005C5244" w:rsidRDefault="001B4CE2" w:rsidP="001B4CE2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5. Do klasyfikacji generalnej wliczamy 7 najlepszych wyników danego zawodnika</w:t>
      </w:r>
      <w:r w:rsidR="00F431AC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z 10 turniejów w roku szkolnym</w:t>
      </w: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.</w:t>
      </w:r>
    </w:p>
    <w:p w14:paraId="47F66F57" w14:textId="77777777" w:rsidR="00F51424" w:rsidRDefault="00F5142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</w:p>
    <w:p w14:paraId="26314B89" w14:textId="2D2A39C1" w:rsidR="001B4CE2" w:rsidRDefault="001B4CE2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  <w:r w:rsidRPr="001B4CE2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6. W przypadku równej liczby dużych punktów o kolejności miejsc w klasyfikacji generalnej decyduje większa liczba rozegranych turniejów, a w następnej kolejności 1 partia wylosowanymi kolorami tempem 3’+1” aż do uzyskania rozstrzygnięcia.</w:t>
      </w:r>
    </w:p>
    <w:p w14:paraId="0A8B1D67" w14:textId="77777777" w:rsidR="00F51424" w:rsidRPr="001B4CE2" w:rsidRDefault="00F5142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</w:p>
    <w:p w14:paraId="7DA01F48" w14:textId="16F051A2" w:rsidR="005C5244" w:rsidRDefault="001B4CE2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7</w:t>
      </w:r>
      <w:r w:rsidR="005C5244"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. Podsumowanie i wręczenie nagród odbędzie się </w:t>
      </w:r>
      <w:r w:rsidR="00F431AC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po</w:t>
      </w:r>
      <w:r w:rsidR="005C5244"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ostatnim (10</w:t>
      </w:r>
      <w:r w:rsidR="00797AB5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-tym</w:t>
      </w:r>
      <w:r w:rsidR="005C5244"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) turnieju </w:t>
      </w:r>
      <w:r w:rsidR="00F5142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19</w:t>
      </w:r>
      <w:r w:rsidR="005C5244"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czerwc</w:t>
      </w:r>
      <w:r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a</w:t>
      </w:r>
      <w:r w:rsidR="00F5142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2026r</w:t>
      </w:r>
      <w:r w:rsidR="005C5244"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.</w:t>
      </w:r>
    </w:p>
    <w:p w14:paraId="488FAE51" w14:textId="77777777" w:rsidR="00F431AC" w:rsidRDefault="00F431AC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</w:p>
    <w:p w14:paraId="08013DBD" w14:textId="1FD8C6E7" w:rsidR="00F431AC" w:rsidRPr="00F431AC" w:rsidRDefault="00F431AC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F431AC">
        <w:rPr>
          <w:rFonts w:eastAsia="Times New Roman"/>
          <w:color w:val="000000"/>
          <w:sz w:val="28"/>
          <w:szCs w:val="28"/>
          <w:lang w:eastAsia="pl-PL"/>
        </w:rPr>
        <w:t>8.</w:t>
      </w:r>
      <w:r w:rsidRPr="00F431AC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pl-PL"/>
        </w:rPr>
        <w:t>R</w:t>
      </w:r>
      <w:r w:rsidRPr="00F431AC">
        <w:rPr>
          <w:rFonts w:eastAsia="Times New Roman"/>
          <w:color w:val="000000"/>
          <w:sz w:val="28"/>
          <w:szCs w:val="28"/>
          <w:lang w:eastAsia="pl-PL"/>
        </w:rPr>
        <w:t>odzic/opiekun małoletniego zapisując dziecko do udziału w zawodach</w:t>
      </w:r>
      <w:r>
        <w:rPr>
          <w:rFonts w:eastAsia="Times New Roman"/>
          <w:color w:val="000000"/>
          <w:sz w:val="28"/>
          <w:szCs w:val="28"/>
          <w:lang w:eastAsia="pl-PL"/>
        </w:rPr>
        <w:t>, jednocześnie</w:t>
      </w:r>
      <w:r w:rsidRPr="00F431AC">
        <w:rPr>
          <w:rFonts w:eastAsia="Times New Roman"/>
          <w:color w:val="000000"/>
          <w:sz w:val="28"/>
          <w:szCs w:val="28"/>
          <w:lang w:eastAsia="pl-PL"/>
        </w:rPr>
        <w:t xml:space="preserve"> wyraża zgodę na wykorzystanie jego wizerunku</w:t>
      </w:r>
      <w:r>
        <w:rPr>
          <w:rFonts w:eastAsia="Times New Roman"/>
          <w:color w:val="000000"/>
          <w:sz w:val="28"/>
          <w:szCs w:val="28"/>
          <w:lang w:eastAsia="pl-PL"/>
        </w:rPr>
        <w:t xml:space="preserve"> w mediach społecznościowych.</w:t>
      </w:r>
    </w:p>
    <w:p w14:paraId="3412741B" w14:textId="51075C91" w:rsidR="00CD7AE7" w:rsidRDefault="00CD7AE7"/>
    <w:sectPr w:rsidR="00CD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44"/>
    <w:rsid w:val="000112CA"/>
    <w:rsid w:val="001B4CE2"/>
    <w:rsid w:val="0035663B"/>
    <w:rsid w:val="003E5E39"/>
    <w:rsid w:val="00452F78"/>
    <w:rsid w:val="004E5EC9"/>
    <w:rsid w:val="005C5244"/>
    <w:rsid w:val="005F7CD0"/>
    <w:rsid w:val="00797AB5"/>
    <w:rsid w:val="0091119B"/>
    <w:rsid w:val="00A83BC5"/>
    <w:rsid w:val="00C34222"/>
    <w:rsid w:val="00CD7AE7"/>
    <w:rsid w:val="00E0332D"/>
    <w:rsid w:val="00F431AC"/>
    <w:rsid w:val="00F5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D2F7"/>
  <w15:chartTrackingRefBased/>
  <w15:docId w15:val="{39049A2C-B353-40BD-A793-E2A436D5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3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2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2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2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2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2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2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2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C524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2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24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244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244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24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24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24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24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C5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2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2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2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C52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244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5C52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2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244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C5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8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8</cp:revision>
  <dcterms:created xsi:type="dcterms:W3CDTF">2025-03-15T06:26:00Z</dcterms:created>
  <dcterms:modified xsi:type="dcterms:W3CDTF">2025-10-14T05:53:00Z</dcterms:modified>
</cp:coreProperties>
</file>