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AC7" w:rsidRDefault="00730AC7" w:rsidP="00730AC7">
      <w:pPr>
        <w:rPr>
          <w:rFonts w:cs="Arial"/>
          <w:color w:val="328709"/>
        </w:rPr>
      </w:pPr>
      <w:r>
        <w:rPr>
          <w:rFonts w:cs="Arial"/>
          <w:noProof/>
          <w:color w:val="328709"/>
        </w:rPr>
        <w:drawing>
          <wp:inline distT="0" distB="0" distL="0" distR="0">
            <wp:extent cx="1066800" cy="1066800"/>
            <wp:effectExtent l="0" t="0" r="0" b="0"/>
            <wp:docPr id="1" name="Obraz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D19" w:rsidRDefault="00730AC7" w:rsidP="00730AC7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MISTRZOSTWA POWIATU SZKÓŁ PODSTAWOWYCH W SZACHACH</w:t>
      </w:r>
    </w:p>
    <w:p w:rsidR="00730AC7" w:rsidRDefault="005B4D19" w:rsidP="00730AC7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730AC7">
        <w:rPr>
          <w:rFonts w:ascii="Calibri" w:hAnsi="Calibri" w:cs="Calibri"/>
          <w:b/>
          <w:bCs/>
        </w:rPr>
        <w:t xml:space="preserve"> KOMUNIKAT ORGANIZACYJNY</w:t>
      </w:r>
    </w:p>
    <w:p w:rsidR="00730AC7" w:rsidRDefault="00730AC7" w:rsidP="00730AC7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01.04.2023 - OSTRÓW MAZOWIECKA</w:t>
      </w:r>
    </w:p>
    <w:p w:rsidR="002F6B58" w:rsidRPr="002F6B58" w:rsidRDefault="002F6B58" w:rsidP="00730AC7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:rsidR="00730AC7" w:rsidRDefault="00730AC7" w:rsidP="00730AC7">
      <w:pPr>
        <w:numPr>
          <w:ilvl w:val="0"/>
          <w:numId w:val="2"/>
        </w:numPr>
        <w:tabs>
          <w:tab w:val="left" w:pos="360"/>
        </w:tabs>
        <w:ind w:left="360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Organizatorzy oraz zarządzanie turniejem:</w:t>
      </w:r>
    </w:p>
    <w:p w:rsidR="00730AC7" w:rsidRDefault="00730AC7" w:rsidP="00730AC7">
      <w:pPr>
        <w:numPr>
          <w:ilvl w:val="0"/>
          <w:numId w:val="3"/>
        </w:numPr>
        <w:tabs>
          <w:tab w:val="left" w:pos="1080"/>
        </w:tabs>
        <w:ind w:left="108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Miejski Ośrodek Sportu i Rekreacji Ostrów Mazowiecka.</w:t>
      </w:r>
    </w:p>
    <w:p w:rsidR="00730AC7" w:rsidRDefault="00730AC7" w:rsidP="00730AC7">
      <w:pPr>
        <w:numPr>
          <w:ilvl w:val="0"/>
          <w:numId w:val="3"/>
        </w:numPr>
        <w:tabs>
          <w:tab w:val="left" w:pos="1080"/>
        </w:tabs>
        <w:ind w:left="108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Dyrektor turnieju – Waldemar Konarzewski, dyrektor MOSiR.</w:t>
      </w:r>
    </w:p>
    <w:p w:rsidR="00730AC7" w:rsidRDefault="00730AC7" w:rsidP="00730AC7">
      <w:pPr>
        <w:numPr>
          <w:ilvl w:val="0"/>
          <w:numId w:val="3"/>
        </w:numPr>
        <w:tabs>
          <w:tab w:val="left" w:pos="1080"/>
        </w:tabs>
        <w:ind w:left="108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Kierownictwo</w:t>
      </w:r>
      <w:r w:rsidR="00D3198B">
        <w:rPr>
          <w:rFonts w:ascii="Calibri" w:hAnsi="Calibri" w:cs="Calibri"/>
          <w:bCs/>
          <w:sz w:val="20"/>
          <w:szCs w:val="20"/>
        </w:rPr>
        <w:t xml:space="preserve"> turnieju – Sławomir Sobociński</w:t>
      </w:r>
      <w:r>
        <w:rPr>
          <w:rFonts w:ascii="Calibri" w:hAnsi="Calibri" w:cs="Calibri"/>
          <w:bCs/>
          <w:sz w:val="20"/>
          <w:szCs w:val="20"/>
        </w:rPr>
        <w:t xml:space="preserve"> - sędzia </w:t>
      </w:r>
      <w:proofErr w:type="spellStart"/>
      <w:r>
        <w:rPr>
          <w:rFonts w:ascii="Calibri" w:hAnsi="Calibri" w:cs="Calibri"/>
          <w:bCs/>
          <w:sz w:val="20"/>
          <w:szCs w:val="20"/>
        </w:rPr>
        <w:t>PZSzach</w:t>
      </w:r>
      <w:proofErr w:type="spellEnd"/>
      <w:r>
        <w:rPr>
          <w:rFonts w:ascii="Calibri" w:hAnsi="Calibri" w:cs="Calibri"/>
          <w:bCs/>
          <w:sz w:val="20"/>
          <w:szCs w:val="20"/>
        </w:rPr>
        <w:t>.</w:t>
      </w:r>
    </w:p>
    <w:p w:rsidR="00730AC7" w:rsidRDefault="00730AC7" w:rsidP="00730AC7">
      <w:pPr>
        <w:ind w:left="720"/>
        <w:rPr>
          <w:rFonts w:ascii="Calibri" w:hAnsi="Calibri" w:cs="Calibri"/>
          <w:bCs/>
          <w:sz w:val="10"/>
          <w:szCs w:val="10"/>
        </w:rPr>
      </w:pPr>
    </w:p>
    <w:p w:rsidR="00730AC7" w:rsidRDefault="00730AC7" w:rsidP="00730AC7">
      <w:pPr>
        <w:tabs>
          <w:tab w:val="left" w:pos="360"/>
          <w:tab w:val="left" w:pos="540"/>
        </w:tabs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2.   Termin i miejsce rozgrywek: </w:t>
      </w:r>
    </w:p>
    <w:p w:rsidR="00730AC7" w:rsidRDefault="00730AC7" w:rsidP="00730AC7">
      <w:pPr>
        <w:ind w:left="708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01.04.2023 r.</w:t>
      </w:r>
      <w:r w:rsidR="00D3198B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(sobota) godz. 10.00 - Miejski Ośrodek Sportu i Rekreacji, Ostrów Mazowiecka, ul. Trębickiego 10 (przy basenie).</w:t>
      </w:r>
    </w:p>
    <w:p w:rsidR="00730AC7" w:rsidRDefault="00730AC7" w:rsidP="00730AC7">
      <w:pPr>
        <w:rPr>
          <w:rFonts w:ascii="Calibri" w:hAnsi="Calibri" w:cs="Calibri"/>
          <w:sz w:val="10"/>
          <w:szCs w:val="10"/>
        </w:rPr>
      </w:pPr>
    </w:p>
    <w:p w:rsidR="00730AC7" w:rsidRDefault="00730AC7" w:rsidP="00730AC7">
      <w:pPr>
        <w:tabs>
          <w:tab w:val="left" w:pos="360"/>
          <w:tab w:val="left" w:pos="540"/>
        </w:tabs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3.    Cel:</w:t>
      </w:r>
    </w:p>
    <w:p w:rsidR="00730AC7" w:rsidRDefault="00730AC7" w:rsidP="00730AC7">
      <w:pPr>
        <w:numPr>
          <w:ilvl w:val="0"/>
          <w:numId w:val="4"/>
        </w:numPr>
        <w:tabs>
          <w:tab w:val="clear" w:pos="1080"/>
          <w:tab w:val="left" w:pos="1083"/>
        </w:tabs>
        <w:ind w:left="1083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Wyłonienie najlepszych zawodników i zawodniczek  w grupie dziewcząt i chłopców (D15, C15), (D13, C13) i (D11, C11).</w:t>
      </w:r>
    </w:p>
    <w:p w:rsidR="00730AC7" w:rsidRDefault="00730AC7" w:rsidP="00730AC7">
      <w:pPr>
        <w:numPr>
          <w:ilvl w:val="0"/>
          <w:numId w:val="4"/>
        </w:numPr>
        <w:tabs>
          <w:tab w:val="clear" w:pos="1080"/>
          <w:tab w:val="left" w:pos="1083"/>
        </w:tabs>
        <w:ind w:left="1083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Popularyzacja sportu szachowego  wśród  uczniów  szkół podstawowych, dzieci</w:t>
      </w:r>
    </w:p>
    <w:p w:rsidR="00730AC7" w:rsidRDefault="00730AC7" w:rsidP="00730AC7">
      <w:pPr>
        <w:ind w:left="723" w:firstLine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 przedszkolaków.</w:t>
      </w:r>
    </w:p>
    <w:p w:rsidR="00730AC7" w:rsidRDefault="00730AC7" w:rsidP="00730AC7">
      <w:pPr>
        <w:numPr>
          <w:ilvl w:val="0"/>
          <w:numId w:val="4"/>
        </w:numPr>
        <w:tabs>
          <w:tab w:val="clear" w:pos="1080"/>
          <w:tab w:val="left" w:pos="1083"/>
        </w:tabs>
        <w:ind w:left="1083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Podwyższenie umiejętności szachowych.</w:t>
      </w:r>
    </w:p>
    <w:p w:rsidR="00730AC7" w:rsidRDefault="00730AC7" w:rsidP="00730AC7">
      <w:pPr>
        <w:ind w:left="1083"/>
        <w:rPr>
          <w:rFonts w:ascii="Calibri" w:hAnsi="Calibri" w:cs="Calibri"/>
          <w:sz w:val="12"/>
          <w:szCs w:val="12"/>
        </w:rPr>
      </w:pPr>
    </w:p>
    <w:p w:rsidR="00730AC7" w:rsidRDefault="00730AC7" w:rsidP="00730AC7">
      <w:pPr>
        <w:tabs>
          <w:tab w:val="left" w:pos="360"/>
          <w:tab w:val="left" w:pos="540"/>
        </w:tabs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4.    Uczestnictwo: 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730AC7" w:rsidRDefault="00730AC7" w:rsidP="00730AC7">
      <w:pPr>
        <w:ind w:left="720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Wszyscy chętni z placówek oświatowych powiatu Ostrów Mazowiecka. Zgłosz</w:t>
      </w:r>
      <w:r w:rsidR="00D3198B">
        <w:rPr>
          <w:rFonts w:ascii="Calibri" w:hAnsi="Calibri" w:cs="Calibri"/>
          <w:bCs/>
          <w:color w:val="000000"/>
          <w:sz w:val="20"/>
          <w:szCs w:val="20"/>
        </w:rPr>
        <w:t>enia do zawodów najpóźniej do 30.03.2023 godz. 15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.00 e-mailem: </w:t>
      </w:r>
      <w:hyperlink r:id="rId6" w:history="1">
        <w:r w:rsidR="00D3198B" w:rsidRPr="002649CA">
          <w:rPr>
            <w:rStyle w:val="Hipercze"/>
            <w:rFonts w:ascii="Calibri" w:hAnsi="Calibri" w:cs="Calibri"/>
            <w:b/>
            <w:bCs/>
            <w:szCs w:val="20"/>
          </w:rPr>
          <w:t>esobocinska@interia.pl</w:t>
        </w:r>
      </w:hyperlink>
      <w:r w:rsidR="00D3198B">
        <w:rPr>
          <w:rFonts w:ascii="Calibri" w:hAnsi="Calibri" w:cs="Calibri"/>
          <w:b/>
          <w:bCs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(preferowany)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lub </w:t>
      </w:r>
      <w:hyperlink r:id="rId7" w:history="1">
        <w:r>
          <w:rPr>
            <w:rStyle w:val="Hipercze"/>
            <w:rFonts w:ascii="Calibri" w:hAnsi="Calibri" w:cs="Calibri"/>
            <w:bCs/>
            <w:szCs w:val="20"/>
          </w:rPr>
          <w:t>mosir.ostrowmaz@gmail.com</w:t>
        </w:r>
      </w:hyperlink>
      <w:r>
        <w:rPr>
          <w:rFonts w:ascii="Calibri" w:hAnsi="Calibri" w:cs="Calibri"/>
          <w:bCs/>
          <w:color w:val="000000"/>
          <w:sz w:val="20"/>
          <w:szCs w:val="20"/>
        </w:rPr>
        <w:t xml:space="preserve">  do organizatora. Turnieje prowadzone będą na stronie internetowej - </w:t>
      </w:r>
      <w:hyperlink r:id="rId8" w:history="1">
        <w:r w:rsidR="005B4D19" w:rsidRPr="002649CA">
          <w:rPr>
            <w:rStyle w:val="Hipercze"/>
            <w:rFonts w:ascii="Calibri" w:hAnsi="Calibri" w:cs="Calibri"/>
            <w:bCs/>
            <w:szCs w:val="20"/>
          </w:rPr>
          <w:t>www.chessarbiter.com/turnieje</w:t>
        </w:r>
      </w:hyperlink>
      <w:r w:rsidR="005B4D19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>Niezgłoszony w terminie zawodnik może uczestniczyć w turnieju w miarę wolnych miejsc.</w:t>
      </w:r>
    </w:p>
    <w:p w:rsidR="00730AC7" w:rsidRDefault="00730AC7" w:rsidP="00730AC7">
      <w:pPr>
        <w:jc w:val="both"/>
        <w:rPr>
          <w:rFonts w:ascii="Calibri" w:hAnsi="Calibri" w:cs="Calibri"/>
          <w:sz w:val="10"/>
          <w:szCs w:val="10"/>
        </w:rPr>
      </w:pPr>
    </w:p>
    <w:p w:rsidR="00730AC7" w:rsidRDefault="00730AC7" w:rsidP="00730AC7">
      <w:pPr>
        <w:tabs>
          <w:tab w:val="left" w:pos="360"/>
          <w:tab w:val="left" w:pos="540"/>
        </w:tabs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5.    System rozgrywek: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730AC7" w:rsidRDefault="00730AC7" w:rsidP="00730AC7">
      <w:pPr>
        <w:tabs>
          <w:tab w:val="left" w:pos="360"/>
          <w:tab w:val="left" w:pos="54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  <w:t xml:space="preserve">Rozegrany zostanie jeden turniej: w grupach </w:t>
      </w:r>
      <w:r>
        <w:rPr>
          <w:rFonts w:ascii="Calibri" w:hAnsi="Calibri" w:cs="Calibri"/>
          <w:b/>
          <w:color w:val="000000"/>
          <w:sz w:val="20"/>
          <w:szCs w:val="20"/>
        </w:rPr>
        <w:t>D15, C15</w:t>
      </w:r>
      <w:r>
        <w:rPr>
          <w:rFonts w:ascii="Calibri" w:hAnsi="Calibri" w:cs="Calibri"/>
          <w:color w:val="000000"/>
          <w:sz w:val="20"/>
          <w:szCs w:val="20"/>
        </w:rPr>
        <w:t xml:space="preserve"> - (dziewczęta i chłopcy rok ur. 2008-2009), </w:t>
      </w:r>
      <w:r>
        <w:rPr>
          <w:rFonts w:ascii="Calibri" w:hAnsi="Calibri" w:cs="Calibri"/>
          <w:b/>
          <w:color w:val="000000"/>
          <w:sz w:val="20"/>
          <w:szCs w:val="20"/>
        </w:rPr>
        <w:t>D13, C13</w:t>
      </w:r>
      <w:r>
        <w:rPr>
          <w:rFonts w:ascii="Calibri" w:hAnsi="Calibri" w:cs="Calibri"/>
          <w:color w:val="000000"/>
          <w:sz w:val="20"/>
          <w:szCs w:val="20"/>
        </w:rPr>
        <w:t xml:space="preserve"> - (D/C rok ur. 2010-2011), </w:t>
      </w:r>
      <w:r>
        <w:rPr>
          <w:rFonts w:ascii="Calibri" w:hAnsi="Calibri" w:cs="Calibri"/>
          <w:b/>
          <w:color w:val="000000"/>
          <w:sz w:val="20"/>
          <w:szCs w:val="20"/>
        </w:rPr>
        <w:t>D11, C11</w:t>
      </w:r>
      <w:r>
        <w:rPr>
          <w:rFonts w:ascii="Calibri" w:hAnsi="Calibri" w:cs="Calibri"/>
          <w:color w:val="000000"/>
          <w:sz w:val="20"/>
          <w:szCs w:val="20"/>
        </w:rPr>
        <w:t>– (D/C rok ur. 2012 i młodsi).</w:t>
      </w:r>
      <w:r w:rsidR="00DF2051">
        <w:rPr>
          <w:rFonts w:ascii="Calibri" w:hAnsi="Calibri" w:cs="Calibri"/>
          <w:sz w:val="20"/>
          <w:szCs w:val="20"/>
        </w:rPr>
        <w:t xml:space="preserve"> Turniej</w:t>
      </w:r>
      <w:r>
        <w:rPr>
          <w:rFonts w:ascii="Calibri" w:hAnsi="Calibri" w:cs="Calibri"/>
          <w:sz w:val="20"/>
          <w:szCs w:val="20"/>
        </w:rPr>
        <w:t xml:space="preserve"> zostanie rozegrany system</w:t>
      </w:r>
      <w:r w:rsidR="00DF2051">
        <w:rPr>
          <w:rFonts w:ascii="Calibri" w:hAnsi="Calibri" w:cs="Calibri"/>
          <w:sz w:val="20"/>
          <w:szCs w:val="20"/>
        </w:rPr>
        <w:t>em</w:t>
      </w:r>
      <w:bookmarkStart w:id="0" w:name="_GoBack"/>
      <w:bookmarkEnd w:id="0"/>
      <w:r>
        <w:rPr>
          <w:rFonts w:ascii="Calibri" w:hAnsi="Calibri" w:cs="Calibri"/>
          <w:sz w:val="20"/>
          <w:szCs w:val="20"/>
        </w:rPr>
        <w:t xml:space="preserve"> szwajcarskim na dystansie 7 rund, kojarzenie komputerowe, tempo gry - 15 minut dla każdego zawodnika. </w:t>
      </w:r>
    </w:p>
    <w:p w:rsidR="00730AC7" w:rsidRDefault="00730AC7" w:rsidP="00730AC7">
      <w:pPr>
        <w:ind w:left="540"/>
        <w:rPr>
          <w:rFonts w:ascii="Calibri" w:hAnsi="Calibri" w:cs="Calibri"/>
          <w:sz w:val="10"/>
          <w:szCs w:val="10"/>
        </w:rPr>
      </w:pPr>
    </w:p>
    <w:p w:rsidR="00730AC7" w:rsidRDefault="00730AC7" w:rsidP="00730AC7">
      <w:pPr>
        <w:shd w:val="clear" w:color="auto" w:fill="E6E6E6"/>
        <w:ind w:firstLine="14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PLAN TURNIEJU:</w:t>
      </w:r>
    </w:p>
    <w:tbl>
      <w:tblPr>
        <w:tblW w:w="978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543"/>
        <w:gridCol w:w="4376"/>
        <w:gridCol w:w="1861"/>
      </w:tblGrid>
      <w:tr w:rsidR="00730AC7" w:rsidTr="00730AC7">
        <w:trPr>
          <w:cantSplit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730AC7" w:rsidRDefault="00730AC7">
            <w:pPr>
              <w:snapToGri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Potwierdzenie przybycia</w:t>
            </w:r>
          </w:p>
        </w:tc>
        <w:tc>
          <w:tcPr>
            <w:tcW w:w="43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0AC7" w:rsidRDefault="00730AC7">
            <w:pPr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Sobota 01.04.2023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30AC7" w:rsidRDefault="00730AC7">
            <w:pPr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09.15 - 09.45</w:t>
            </w:r>
          </w:p>
        </w:tc>
      </w:tr>
      <w:tr w:rsidR="00730AC7" w:rsidTr="00730AC7">
        <w:trPr>
          <w:cantSplit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730AC7" w:rsidRDefault="00730AC7">
            <w:pPr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Odprawa techniczna</w:t>
            </w:r>
          </w:p>
        </w:tc>
        <w:tc>
          <w:tcPr>
            <w:tcW w:w="4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0AC7" w:rsidRDefault="00730AC7">
            <w:pPr>
              <w:pStyle w:val="Nagwek6"/>
              <w:tabs>
                <w:tab w:val="left" w:pos="0"/>
              </w:tabs>
              <w:snapToGrid w:val="0"/>
              <w:rPr>
                <w:rFonts w:ascii="Calibri" w:hAnsi="Calibri" w:cs="Calibri"/>
                <w:bCs w:val="0"/>
                <w:i w:val="0"/>
                <w:color w:val="auto"/>
                <w:szCs w:val="20"/>
              </w:rPr>
            </w:pPr>
            <w:r>
              <w:rPr>
                <w:rFonts w:ascii="Calibri" w:hAnsi="Calibri" w:cs="Calibri"/>
                <w:bCs w:val="0"/>
                <w:i w:val="0"/>
                <w:color w:val="auto"/>
                <w:szCs w:val="20"/>
              </w:rPr>
              <w:t>Sobota 01.04.2023</w:t>
            </w:r>
          </w:p>
        </w:tc>
        <w:tc>
          <w:tcPr>
            <w:tcW w:w="18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730AC7" w:rsidRDefault="00730AC7">
            <w:pPr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09.45 - 10.00 </w:t>
            </w:r>
          </w:p>
        </w:tc>
      </w:tr>
      <w:tr w:rsidR="00730AC7" w:rsidTr="00730AC7">
        <w:trPr>
          <w:cantSplit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730AC7" w:rsidRDefault="00730AC7">
            <w:pPr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Rundy 1 do 7</w:t>
            </w:r>
          </w:p>
        </w:tc>
        <w:tc>
          <w:tcPr>
            <w:tcW w:w="437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730AC7" w:rsidRDefault="00730AC7">
            <w:pPr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Sobota 01.04.2023</w:t>
            </w:r>
          </w:p>
        </w:tc>
        <w:tc>
          <w:tcPr>
            <w:tcW w:w="1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0AC7" w:rsidRDefault="00730AC7">
            <w:pPr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10.00 - 14.00</w:t>
            </w:r>
          </w:p>
        </w:tc>
      </w:tr>
    </w:tbl>
    <w:p w:rsidR="00730AC7" w:rsidRDefault="00730AC7" w:rsidP="00730AC7">
      <w:pPr>
        <w:tabs>
          <w:tab w:val="left" w:pos="360"/>
          <w:tab w:val="left" w:pos="540"/>
        </w:tabs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730AC7" w:rsidRDefault="00730AC7" w:rsidP="00730AC7">
      <w:pPr>
        <w:tabs>
          <w:tab w:val="left" w:pos="360"/>
          <w:tab w:val="left" w:pos="540"/>
        </w:tabs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6.    Punktacja:</w:t>
      </w:r>
    </w:p>
    <w:p w:rsidR="00730AC7" w:rsidRDefault="00730AC7" w:rsidP="00730AC7">
      <w:pPr>
        <w:tabs>
          <w:tab w:val="left" w:pos="360"/>
          <w:tab w:val="left" w:pos="540"/>
        </w:tabs>
        <w:ind w:left="709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O kolejności miejsc w końcowej klasyfikacji decyduje suma zdobytych punktów. W przypadku równej ilości punktów decyduje średni Buchholz, pełny Buchholz, progresja, ilość zwycięstw.</w:t>
      </w:r>
    </w:p>
    <w:p w:rsidR="00730AC7" w:rsidRDefault="00730AC7" w:rsidP="00730AC7">
      <w:pPr>
        <w:tabs>
          <w:tab w:val="left" w:pos="360"/>
          <w:tab w:val="left" w:pos="540"/>
        </w:tabs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7.    Nagrody:</w:t>
      </w:r>
    </w:p>
    <w:p w:rsidR="00730AC7" w:rsidRDefault="00730AC7" w:rsidP="00730AC7">
      <w:pPr>
        <w:ind w:left="72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Najlepsi w każdej kategorii wiekowej uhonorowani zostaną medalami Szkolnych Rozgrywek Sportowych 2022/2023.</w:t>
      </w:r>
    </w:p>
    <w:p w:rsidR="00730AC7" w:rsidRDefault="00730AC7" w:rsidP="00730AC7">
      <w:pPr>
        <w:ind w:left="720"/>
        <w:jc w:val="both"/>
        <w:rPr>
          <w:rFonts w:ascii="Calibri" w:hAnsi="Calibri" w:cs="Calibri"/>
          <w:color w:val="000000"/>
          <w:sz w:val="12"/>
          <w:szCs w:val="12"/>
        </w:rPr>
      </w:pPr>
    </w:p>
    <w:p w:rsidR="00730AC7" w:rsidRDefault="00730AC7" w:rsidP="00730AC7">
      <w:pPr>
        <w:tabs>
          <w:tab w:val="left" w:pos="360"/>
          <w:tab w:val="left" w:pos="540"/>
        </w:tabs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8.    Uwagi: </w:t>
      </w:r>
    </w:p>
    <w:p w:rsidR="00730AC7" w:rsidRDefault="00730AC7" w:rsidP="00730AC7">
      <w:pPr>
        <w:numPr>
          <w:ilvl w:val="0"/>
          <w:numId w:val="5"/>
        </w:numPr>
        <w:tabs>
          <w:tab w:val="left" w:pos="1080"/>
        </w:tabs>
        <w:ind w:left="108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Opiekunowie lub rodzice są odpowiedzialni za zachowanie zawodników.</w:t>
      </w:r>
    </w:p>
    <w:p w:rsidR="00730AC7" w:rsidRDefault="00730AC7" w:rsidP="00730AC7">
      <w:pPr>
        <w:numPr>
          <w:ilvl w:val="0"/>
          <w:numId w:val="5"/>
        </w:numPr>
        <w:tabs>
          <w:tab w:val="left" w:pos="1080"/>
        </w:tabs>
        <w:ind w:left="108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Zawodnicy ubezpieczają się we własnym zakresie.</w:t>
      </w:r>
    </w:p>
    <w:p w:rsidR="00730AC7" w:rsidRDefault="00730AC7" w:rsidP="00730AC7">
      <w:pPr>
        <w:numPr>
          <w:ilvl w:val="0"/>
          <w:numId w:val="5"/>
        </w:numPr>
        <w:tabs>
          <w:tab w:val="left" w:pos="1080"/>
        </w:tabs>
        <w:ind w:left="108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Ostateczna interpretacja powyższego regulaminu należy do Organizatora.</w:t>
      </w:r>
    </w:p>
    <w:p w:rsidR="00730AC7" w:rsidRDefault="00730AC7" w:rsidP="00730AC7">
      <w:pPr>
        <w:numPr>
          <w:ilvl w:val="0"/>
          <w:numId w:val="5"/>
        </w:numPr>
        <w:tabs>
          <w:tab w:val="left" w:pos="1080"/>
        </w:tabs>
        <w:ind w:left="108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Informacji organizacyjnych udziela</w:t>
      </w:r>
      <w:r>
        <w:rPr>
          <w:rFonts w:ascii="Calibri" w:hAnsi="Calibri" w:cs="Calibri"/>
          <w:sz w:val="20"/>
          <w:szCs w:val="20"/>
        </w:rPr>
        <w:t>: Waldemar Konarzewski  – 29 645 21 90.</w:t>
      </w:r>
    </w:p>
    <w:p w:rsidR="00A652A4" w:rsidRDefault="00730AC7" w:rsidP="00730AC7">
      <w:r>
        <w:rPr>
          <w:rFonts w:ascii="Calibri" w:hAnsi="Calibri" w:cs="Calibri"/>
          <w:b/>
          <w:bCs/>
          <w:sz w:val="20"/>
          <w:szCs w:val="20"/>
        </w:rPr>
        <w:t xml:space="preserve">Informacje sędziowskie: </w:t>
      </w:r>
      <w:r w:rsidR="00CB6FB8">
        <w:rPr>
          <w:rFonts w:ascii="Calibri" w:hAnsi="Calibri" w:cs="Calibri"/>
          <w:sz w:val="20"/>
          <w:szCs w:val="20"/>
        </w:rPr>
        <w:t>Sławomir Sobociński - tel. 698 179 334</w:t>
      </w:r>
      <w:r>
        <w:rPr>
          <w:rFonts w:ascii="Calibri" w:hAnsi="Calibri" w:cs="Calibri"/>
          <w:sz w:val="20"/>
          <w:szCs w:val="20"/>
        </w:rPr>
        <w:t xml:space="preserve">, e-mail: </w:t>
      </w:r>
      <w:hyperlink r:id="rId9" w:history="1">
        <w:r w:rsidR="00CB6FB8" w:rsidRPr="002649CA">
          <w:rPr>
            <w:rStyle w:val="Hipercze"/>
            <w:rFonts w:ascii="Calibri" w:hAnsi="Calibri" w:cs="Calibri"/>
            <w:szCs w:val="20"/>
          </w:rPr>
          <w:t>esobocinska@interia.pl</w:t>
        </w:r>
      </w:hyperlink>
      <w:r w:rsidR="00CB6FB8">
        <w:rPr>
          <w:rFonts w:ascii="Calibri" w:hAnsi="Calibri" w:cs="Calibri"/>
          <w:szCs w:val="20"/>
        </w:rPr>
        <w:t xml:space="preserve"> </w:t>
      </w:r>
    </w:p>
    <w:sectPr w:rsidR="00A652A4" w:rsidSect="00CC3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69E84CD6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0AC7"/>
    <w:rsid w:val="002F6B58"/>
    <w:rsid w:val="00447BBA"/>
    <w:rsid w:val="005B4D19"/>
    <w:rsid w:val="00730AC7"/>
    <w:rsid w:val="00A652A4"/>
    <w:rsid w:val="00CB6FB8"/>
    <w:rsid w:val="00CC3117"/>
    <w:rsid w:val="00D3198B"/>
    <w:rsid w:val="00DF2051"/>
    <w:rsid w:val="00F4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0AC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nhideWhenUsed/>
    <w:qFormat/>
    <w:rsid w:val="00730AC7"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bCs/>
      <w:i/>
      <w:iCs/>
      <w:color w:val="339966"/>
      <w:sz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30AC7"/>
    <w:pPr>
      <w:keepNext/>
      <w:numPr>
        <w:ilvl w:val="6"/>
        <w:numId w:val="1"/>
      </w:numPr>
      <w:ind w:left="540"/>
      <w:outlineLvl w:val="6"/>
    </w:pPr>
    <w:rPr>
      <w:rFonts w:ascii="Arial" w:hAnsi="Arial" w:cs="Arial"/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730AC7"/>
    <w:pPr>
      <w:keepNext/>
      <w:numPr>
        <w:ilvl w:val="8"/>
        <w:numId w:val="1"/>
      </w:numPr>
      <w:shd w:val="clear" w:color="auto" w:fill="FFCC00"/>
      <w:jc w:val="center"/>
      <w:outlineLvl w:val="8"/>
    </w:pPr>
    <w:rPr>
      <w:rFonts w:ascii="Arial" w:hAnsi="Arial" w:cs="Arial"/>
      <w:b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730AC7"/>
    <w:rPr>
      <w:rFonts w:ascii="Arial" w:eastAsia="Lucida Sans Unicode" w:hAnsi="Arial" w:cs="Arial"/>
      <w:b/>
      <w:bCs/>
      <w:i/>
      <w:iCs/>
      <w:color w:val="339966"/>
      <w:kern w:val="2"/>
      <w:sz w:val="20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730AC7"/>
    <w:rPr>
      <w:rFonts w:ascii="Arial" w:eastAsia="Lucida Sans Unicode" w:hAnsi="Arial" w:cs="Arial"/>
      <w:b/>
      <w:bCs/>
      <w:kern w:val="2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730AC7"/>
    <w:rPr>
      <w:rFonts w:ascii="Arial" w:eastAsia="Lucida Sans Unicode" w:hAnsi="Arial" w:cs="Arial"/>
      <w:b/>
      <w:i/>
      <w:color w:val="000000"/>
      <w:kern w:val="2"/>
      <w:sz w:val="24"/>
      <w:szCs w:val="24"/>
      <w:shd w:val="clear" w:color="auto" w:fill="FFCC00"/>
      <w:lang w:eastAsia="pl-PL"/>
    </w:rPr>
  </w:style>
  <w:style w:type="character" w:styleId="Hipercze">
    <w:name w:val="Hyperlink"/>
    <w:unhideWhenUsed/>
    <w:rsid w:val="00730AC7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A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AC7"/>
    <w:rPr>
      <w:rFonts w:ascii="Tahoma" w:eastAsia="Lucida Sans Unicode" w:hAnsi="Tahoma" w:cs="Tahoma"/>
      <w:kern w:val="2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0AC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nhideWhenUsed/>
    <w:qFormat/>
    <w:rsid w:val="00730AC7"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bCs/>
      <w:i/>
      <w:iCs/>
      <w:color w:val="339966"/>
      <w:sz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30AC7"/>
    <w:pPr>
      <w:keepNext/>
      <w:numPr>
        <w:ilvl w:val="6"/>
        <w:numId w:val="1"/>
      </w:numPr>
      <w:ind w:left="540"/>
      <w:outlineLvl w:val="6"/>
    </w:pPr>
    <w:rPr>
      <w:rFonts w:ascii="Arial" w:hAnsi="Arial" w:cs="Arial"/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730AC7"/>
    <w:pPr>
      <w:keepNext/>
      <w:numPr>
        <w:ilvl w:val="8"/>
        <w:numId w:val="1"/>
      </w:numPr>
      <w:shd w:val="clear" w:color="auto" w:fill="FFCC00"/>
      <w:jc w:val="center"/>
      <w:outlineLvl w:val="8"/>
    </w:pPr>
    <w:rPr>
      <w:rFonts w:ascii="Arial" w:hAnsi="Arial" w:cs="Arial"/>
      <w:b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730AC7"/>
    <w:rPr>
      <w:rFonts w:ascii="Arial" w:eastAsia="Lucida Sans Unicode" w:hAnsi="Arial" w:cs="Arial"/>
      <w:b/>
      <w:bCs/>
      <w:i/>
      <w:iCs/>
      <w:color w:val="339966"/>
      <w:kern w:val="2"/>
      <w:sz w:val="20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730AC7"/>
    <w:rPr>
      <w:rFonts w:ascii="Arial" w:eastAsia="Lucida Sans Unicode" w:hAnsi="Arial" w:cs="Arial"/>
      <w:b/>
      <w:bCs/>
      <w:kern w:val="2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730AC7"/>
    <w:rPr>
      <w:rFonts w:ascii="Arial" w:eastAsia="Lucida Sans Unicode" w:hAnsi="Arial" w:cs="Arial"/>
      <w:b/>
      <w:i/>
      <w:color w:val="000000"/>
      <w:kern w:val="2"/>
      <w:sz w:val="24"/>
      <w:szCs w:val="24"/>
      <w:shd w:val="clear" w:color="auto" w:fill="FFCC00"/>
      <w:lang w:eastAsia="pl-PL"/>
    </w:rPr>
  </w:style>
  <w:style w:type="character" w:styleId="Hipercze">
    <w:name w:val="Hyperlink"/>
    <w:semiHidden/>
    <w:unhideWhenUsed/>
    <w:rsid w:val="00730AC7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A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AC7"/>
    <w:rPr>
      <w:rFonts w:ascii="Tahoma" w:eastAsia="Lucida Sans Unicode" w:hAnsi="Tahoma" w:cs="Tahoma"/>
      <w:kern w:val="2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1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sarbiter.com/turniej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sir.ostrowmaz@gmail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obocinska@interia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sobocinska@inter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</dc:creator>
  <cp:lastModifiedBy>user</cp:lastModifiedBy>
  <cp:revision>7</cp:revision>
  <dcterms:created xsi:type="dcterms:W3CDTF">2023-02-26T13:38:00Z</dcterms:created>
  <dcterms:modified xsi:type="dcterms:W3CDTF">2023-02-28T17:29:00Z</dcterms:modified>
</cp:coreProperties>
</file>