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642" w:type="pct"/>
        <w:tblCellSpacing w:w="7" w:type="dxa"/>
        <w:tblInd w:w="-660" w:type="dxa"/>
        <w:tblBorders>
          <w:top w:val="outset" w:sz="12" w:space="0" w:color="999999"/>
          <w:left w:val="outset" w:sz="12" w:space="0" w:color="999999"/>
          <w:bottom w:val="outset" w:sz="12" w:space="0" w:color="999999"/>
          <w:right w:val="outset" w:sz="12" w:space="0" w:color="999999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9"/>
        <w:gridCol w:w="5461"/>
      </w:tblGrid>
      <w:tr w:rsidR="00A745F9" w:rsidRPr="00A745F9" w:rsidTr="00EC57C4">
        <w:trPr>
          <w:trHeight w:val="14951"/>
          <w:tblCellSpacing w:w="7" w:type="dxa"/>
        </w:trPr>
        <w:tc>
          <w:tcPr>
            <w:tcW w:w="2250" w:type="pct"/>
            <w:tcBorders>
              <w:top w:val="outset" w:sz="8" w:space="0" w:color="999999"/>
              <w:left w:val="outset" w:sz="8" w:space="0" w:color="999999"/>
              <w:bottom w:val="outset" w:sz="8" w:space="0" w:color="999999"/>
              <w:right w:val="outset" w:sz="8" w:space="0" w:color="999999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5338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20"/>
              <w:gridCol w:w="3118"/>
            </w:tblGrid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Rodzina produktów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ASUS seria A53</w:t>
                  </w:r>
                </w:p>
              </w:tc>
            </w:tr>
            <w:tr w:rsidR="00A745F9" w:rsidRPr="00954D5C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Klasa procesora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val="en-US"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val="en-US" w:eastAsia="pl-PL"/>
                    </w:rPr>
                    <w:t>Intel Pentium Dual-Core Mobile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Kod procesora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B960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Prędkość procesora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2,2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GHz</w:t>
                  </w:r>
                  <w:proofErr w:type="spellEnd"/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Częstotliwość szyny QPI/DMI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5 GT/s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Pojemność pamięci podręcznej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2 MB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Technologia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Hyperthreading</w:t>
                  </w:r>
                  <w:proofErr w:type="spellEnd"/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Pojemność dysku (HDD)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320 GB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Rodzaj dysku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Standardowy (nośnik magnetyczny)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Zainstalowana pamięć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2048 MB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Rodzaj pamięci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SODIMM DDR3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Częstotliwość szyny pamięci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1333 MHz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Maksymalna wielkość pamięci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8192 MB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Ilość banków pamięci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2 szt.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Ilość wolnych banków pamięci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1 szt.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Przekątna ekranu LCD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15,6 cali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Typ ekranu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 xml:space="preserve">TFT HD [LED]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Glare</w:t>
                  </w:r>
                  <w:proofErr w:type="spellEnd"/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Maksymalna rozdzielczość LCD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1366 x 768</w:t>
                  </w:r>
                </w:p>
              </w:tc>
            </w:tr>
            <w:tr w:rsidR="00A745F9" w:rsidRPr="00954D5C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Typ karty graficznej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val="en-US"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val="en-US" w:eastAsia="pl-PL"/>
                    </w:rPr>
                    <w:t>Intel Graphics Media Accelerator HD 3000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Dodatkowe informacje n/t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zainst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. pamięci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Przydzielana dynamicznie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Karta dźwiękowa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Zintegrowana</w:t>
                  </w:r>
                </w:p>
              </w:tc>
            </w:tr>
            <w:tr w:rsidR="00A745F9" w:rsidRPr="00954D5C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Napędy wbudowane (zainstalowane)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val="en-US"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val="en-US" w:eastAsia="pl-PL"/>
                    </w:rPr>
                    <w:t>DVD±RW Super Multi (+ DVD-RAM) Dual Layer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Typ gniazda rozszerzeń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Brak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Urządzenia wskazujące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TouchPad</w:t>
                  </w:r>
                  <w:proofErr w:type="spellEnd"/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Klawiatura numeryczna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Rodzaj baterii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Li-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Ion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 xml:space="preserve"> (6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Cells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 xml:space="preserve">) 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Złącza zewn.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1x 15-stykowe D-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Sub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 (wyjście na monitor)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 x HDMI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2x USB 2.0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1x USB 3.0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1x RJ-45 (LAN)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Wyjście słuchawkowe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wejście na mikrofon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wejście zasilania (DC-in)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Bezprzewodowa karta sieciowa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Typ bezprzewodowej karty sieciowej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IEEE 802.11b/g/n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Bluetooth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Zainstalowany moduł WWAN/3G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IR (podczerwień)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Czytnik kart pamięci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Typy odczytywanych kart pamięci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•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SecureDigital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 Card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•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MultiMedia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 Card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•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MemoryStick</w:t>
                  </w:r>
                  <w:proofErr w:type="spellEnd"/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•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MemoryStick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 Pro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Wyposażenie standardowe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• 1x10/100/1000BaseT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Gigabitethernet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 (RJ45)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Głośniki stereo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• Mikrofon 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Zintegrowana kamera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Zainstalowany system operacyjny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Microsoft Windows 7 Home Premium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Szerokość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378 mm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Głębokość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253 mm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Wysokość</w:t>
                  </w: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28,3 mm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3118" w:type="dxa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34,9 mm</w:t>
                  </w:r>
                </w:p>
              </w:tc>
            </w:tr>
            <w:tr w:rsidR="00A745F9" w:rsidRPr="00A745F9" w:rsidTr="00EC57C4">
              <w:trPr>
                <w:tblCellSpacing w:w="0" w:type="dxa"/>
              </w:trPr>
              <w:tc>
                <w:tcPr>
                  <w:tcW w:w="2220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Masa netto</w:t>
                  </w:r>
                </w:p>
              </w:tc>
              <w:tc>
                <w:tcPr>
                  <w:tcW w:w="3118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A745F9" w:rsidRPr="00954D5C" w:rsidRDefault="00A745F9" w:rsidP="00A745F9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2,6 kg</w:t>
                  </w:r>
                </w:p>
              </w:tc>
            </w:tr>
          </w:tbl>
          <w:p w:rsidR="00A745F9" w:rsidRPr="00A745F9" w:rsidRDefault="00A745F9" w:rsidP="00A745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729" w:type="pct"/>
            <w:tcBorders>
              <w:top w:val="outset" w:sz="8" w:space="0" w:color="999999"/>
              <w:left w:val="outset" w:sz="8" w:space="0" w:color="999999"/>
              <w:bottom w:val="outset" w:sz="8" w:space="0" w:color="999999"/>
              <w:right w:val="outset" w:sz="8" w:space="0" w:color="999999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5000" w:type="pct"/>
              <w:jc w:val="center"/>
              <w:tblCellSpacing w:w="1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370"/>
            </w:tblGrid>
            <w:tr w:rsidR="00A745F9" w:rsidRPr="00A745F9" w:rsidTr="00954D5C">
              <w:trPr>
                <w:trHeight w:val="28"/>
                <w:tblCellSpacing w:w="15" w:type="dxa"/>
                <w:jc w:val="center"/>
              </w:trPr>
              <w:tc>
                <w:tcPr>
                  <w:tcW w:w="0" w:type="auto"/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vAlign w:val="center"/>
                  <w:hideMark/>
                </w:tcPr>
                <w:p w:rsidR="00A745F9" w:rsidRPr="00A745F9" w:rsidRDefault="00A745F9" w:rsidP="00A745F9">
                  <w:pPr>
                    <w:spacing w:after="0" w:line="240" w:lineRule="auto"/>
                    <w:jc w:val="center"/>
                    <w:rPr>
                      <w:rFonts w:ascii="Verdana" w:eastAsia="Times New Roman" w:hAnsi="Verdana" w:cs="Calibri"/>
                      <w:sz w:val="16"/>
                      <w:szCs w:val="16"/>
                      <w:lang w:eastAsia="pl-PL"/>
                    </w:rPr>
                  </w:pPr>
                  <w:r>
                    <w:rPr>
                      <w:rFonts w:ascii="Verdana" w:eastAsia="Times New Roman" w:hAnsi="Verdana" w:cs="Calibri"/>
                      <w:noProof/>
                      <w:sz w:val="16"/>
                      <w:szCs w:val="16"/>
                      <w:lang w:eastAsia="pl-PL"/>
                    </w:rPr>
                    <w:drawing>
                      <wp:inline distT="0" distB="0" distL="0" distR="0" wp14:anchorId="717A0961" wp14:editId="71C6AF58">
                        <wp:extent cx="3333750" cy="3086100"/>
                        <wp:effectExtent l="0" t="0" r="0" b="0"/>
                        <wp:docPr id="2" name="Obraz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!cid_image001_jpg@01CDA270.jpg"/>
                                <pic:cNvPicPr/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333750" cy="30861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745F9" w:rsidRPr="00A745F9">
              <w:trPr>
                <w:trHeight w:val="15"/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996633"/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vAlign w:val="center"/>
                  <w:hideMark/>
                </w:tcPr>
                <w:p w:rsidR="00A745F9" w:rsidRPr="00A745F9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"/>
                      <w:szCs w:val="24"/>
                      <w:lang w:eastAsia="pl-PL"/>
                    </w:rPr>
                  </w:pPr>
                </w:p>
              </w:tc>
            </w:tr>
            <w:tr w:rsidR="00A745F9" w:rsidRPr="00A745F9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vAlign w:val="center"/>
                  <w:hideMark/>
                </w:tcPr>
                <w:p w:rsidR="00A745F9" w:rsidRPr="00A745F9" w:rsidRDefault="00A745F9" w:rsidP="00A745F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l-PL"/>
                    </w:rPr>
                  </w:pPr>
                </w:p>
              </w:tc>
            </w:tr>
          </w:tbl>
          <w:p w:rsidR="00954D5C" w:rsidRDefault="00954D5C" w:rsidP="00A745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36"/>
                <w:szCs w:val="36"/>
                <w:lang w:eastAsia="pl-PL"/>
              </w:rPr>
            </w:pPr>
            <w:r w:rsidRPr="00954D5C">
              <w:rPr>
                <w:rFonts w:ascii="Times New Roman" w:eastAsia="Times New Roman" w:hAnsi="Times New Roman" w:cs="Times New Roman"/>
                <w:b/>
                <w:color w:val="FF0000"/>
                <w:sz w:val="36"/>
                <w:szCs w:val="36"/>
                <w:lang w:eastAsia="pl-PL"/>
              </w:rPr>
              <w:t xml:space="preserve">I nagroda </w:t>
            </w:r>
          </w:p>
          <w:p w:rsidR="00A745F9" w:rsidRPr="00954D5C" w:rsidRDefault="00954D5C" w:rsidP="00A745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pl-PL"/>
              </w:rPr>
            </w:pPr>
            <w:r w:rsidRPr="00954D5C">
              <w:rPr>
                <w:rFonts w:ascii="Times New Roman" w:eastAsia="Times New Roman" w:hAnsi="Times New Roman" w:cs="Times New Roman"/>
                <w:b/>
                <w:color w:val="FF0000"/>
                <w:sz w:val="36"/>
                <w:szCs w:val="36"/>
                <w:lang w:eastAsia="pl-PL"/>
              </w:rPr>
              <w:t>– Klasyfikacja ogólna mężczyzn</w:t>
            </w:r>
          </w:p>
        </w:tc>
      </w:tr>
      <w:tr w:rsidR="00954D5C" w:rsidRPr="00A745F9" w:rsidTr="00954D5C">
        <w:trPr>
          <w:trHeight w:val="14846"/>
          <w:tblCellSpacing w:w="7" w:type="dxa"/>
        </w:trPr>
        <w:tc>
          <w:tcPr>
            <w:tcW w:w="2250" w:type="pct"/>
            <w:tcBorders>
              <w:top w:val="outset" w:sz="8" w:space="0" w:color="999999"/>
              <w:left w:val="outset" w:sz="8" w:space="0" w:color="999999"/>
              <w:bottom w:val="outset" w:sz="8" w:space="0" w:color="999999"/>
              <w:right w:val="outset" w:sz="8" w:space="0" w:color="999999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553"/>
              <w:gridCol w:w="2785"/>
            </w:tblGrid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bookmarkStart w:id="0" w:name="_GoBack" w:colFirst="0" w:colLast="0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lastRenderedPageBreak/>
                    <w:t>Format ekranu monitora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panoramiczny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Przekątna ekranu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21,5 cali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Wielkość plamki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0,248 mm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 xml:space="preserve">Typ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panela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 xml:space="preserve"> LCD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TFT TN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Technologia podświetlenia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LED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Obsługa technologii 3D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Matryca "błyszcząca" (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glare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)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Nakładka dotykowa na ekran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Zalecana rozdzielczość obrazu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1920 x 1080 pikseli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Częst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. odświeżania przy zalecanej rozdzielczości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 xml:space="preserve">60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Hz</w:t>
                  </w:r>
                  <w:proofErr w:type="spellEnd"/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Czas reakcji matrycy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5 ms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Jasność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250 cd/m2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Kontrast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1000:1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Kąt widzenia poziomy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170 stopni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Kąt widzenia pionowy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160 stopni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Liczba wyświetlanych kolorów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16,7 mln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Certyfikaty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CE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ISO 9241-307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Regulacja cyfrowa (OSD)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Głośniki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Ilość wbudowanych głośników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2 szt.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Moc głośnika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5 Wat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Mikrofon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Złącza wejściowe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15-stykowe D-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Sub</w:t>
                  </w:r>
                  <w:proofErr w:type="spellEnd"/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HDMI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Pozostałe złącza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 x SCART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pl-PL"/>
                    </w:rPr>
                    <w:t xml:space="preserve">• 1 x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pl-PL"/>
                    </w:rPr>
                    <w:t>wejście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pl-PL"/>
                    </w:rPr>
                    <w:t xml:space="preserve"> AV (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pl-PL"/>
                    </w:rPr>
                    <w:t>kabel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val="en-US" w:eastAsia="pl-PL"/>
                    </w:rPr>
                    <w:t xml:space="preserve"> Component/Composite + Audio R/L)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val="en-US"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 x wejście audio (stereo mini-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jack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)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CI slot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Wejście antenowe RF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 x USB 2.0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 x cyfrowe wyjście optyczne audio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1 x wyjście słuchawkowe (stereo mini-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jack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)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Wbudowany hub USB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Karta sieciowa (LAN)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Łączność WLAN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Zintegrowana kamera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Wbudowany tuner TV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Typ Tunera TV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analogowy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DVB-C z CI+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DVB-T</w:t>
                  </w:r>
                </w:p>
              </w:tc>
            </w:tr>
            <w:tr w:rsidR="00954D5C" w:rsidRPr="00954D5C" w:rsidTr="00954D5C">
              <w:trPr>
                <w:trHeight w:val="72"/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• Tuner HD H.264 (MPEG-4)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Pilot w zestawie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Czytnik kart pamięci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Wbudowany zasilacz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Pobór mocy (praca/spoczynek)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35/1 Wat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 xml:space="preserve">Możliwość pochylenia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panela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 xml:space="preserve"> (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tilt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)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Regulacja wysokości monitora (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height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 xml:space="preserve"> 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adjustment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)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Obrotowa podstawa monitora (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swivel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)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Panel obrotowy (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pivot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)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Nie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Montaż na ścianie (VESA)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75 x 75 mm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Możliwość zabezpieczenia (</w:t>
                  </w:r>
                  <w:proofErr w:type="spellStart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Kensington</w:t>
                  </w:r>
                  <w:proofErr w:type="spellEnd"/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)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sz w:val="16"/>
                      <w:szCs w:val="16"/>
                      <w:lang w:eastAsia="pl-PL"/>
                    </w:rPr>
                    <w:t>Tak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Szerokość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509,7 mm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Wysokość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396,6 mm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Głębokość</w:t>
                  </w:r>
                </w:p>
              </w:tc>
              <w:tc>
                <w:tcPr>
                  <w:tcW w:w="0" w:type="auto"/>
                  <w:shd w:val="clear" w:color="auto" w:fill="F3F3F3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195 mm</w:t>
                  </w:r>
                </w:p>
              </w:tc>
            </w:tr>
            <w:tr w:rsidR="00954D5C" w:rsidRPr="00954D5C" w:rsidTr="00954D5C">
              <w:trPr>
                <w:tblCellSpacing w:w="0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color w:val="993333"/>
                      <w:sz w:val="16"/>
                      <w:szCs w:val="16"/>
                      <w:lang w:eastAsia="pl-PL"/>
                    </w:rPr>
                    <w:t>Masa netto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54D5C" w:rsidRPr="00954D5C" w:rsidRDefault="00954D5C" w:rsidP="00954D5C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954D5C">
                    <w:rPr>
                      <w:rFonts w:ascii="Tahoma" w:eastAsia="Times New Roman" w:hAnsi="Tahoma" w:cs="Tahoma"/>
                      <w:b/>
                      <w:bCs/>
                      <w:sz w:val="16"/>
                      <w:szCs w:val="16"/>
                      <w:lang w:eastAsia="pl-PL"/>
                    </w:rPr>
                    <w:t>3,95 kg</w:t>
                  </w:r>
                </w:p>
              </w:tc>
            </w:tr>
            <w:bookmarkEnd w:id="0"/>
          </w:tbl>
          <w:p w:rsidR="00954D5C" w:rsidRPr="00A745F9" w:rsidRDefault="00954D5C" w:rsidP="00A745F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993333"/>
                <w:sz w:val="16"/>
                <w:szCs w:val="16"/>
                <w:lang w:eastAsia="pl-PL"/>
              </w:rPr>
            </w:pPr>
          </w:p>
        </w:tc>
        <w:tc>
          <w:tcPr>
            <w:tcW w:w="2729" w:type="pct"/>
            <w:tcBorders>
              <w:top w:val="outset" w:sz="8" w:space="0" w:color="999999"/>
              <w:left w:val="outset" w:sz="8" w:space="0" w:color="999999"/>
              <w:bottom w:val="outset" w:sz="8" w:space="0" w:color="999999"/>
              <w:right w:val="outset" w:sz="8" w:space="0" w:color="999999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54D5C" w:rsidRDefault="00954D5C" w:rsidP="00A745F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noProof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Calibri"/>
                <w:noProof/>
                <w:sz w:val="16"/>
                <w:szCs w:val="16"/>
                <w:lang w:eastAsia="pl-PL"/>
              </w:rPr>
              <w:drawing>
                <wp:inline distT="0" distB="0" distL="0" distR="0" wp14:anchorId="17E64AE9" wp14:editId="78D49433">
                  <wp:extent cx="2796363" cy="2914520"/>
                  <wp:effectExtent l="0" t="0" r="4445" b="63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!cid_image002_jpg@01CDA27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7888" cy="2916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54D5C" w:rsidRDefault="00954D5C" w:rsidP="00A745F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noProof/>
                <w:sz w:val="16"/>
                <w:szCs w:val="16"/>
                <w:lang w:eastAsia="pl-PL"/>
              </w:rPr>
            </w:pPr>
          </w:p>
          <w:p w:rsidR="00954D5C" w:rsidRDefault="00954D5C" w:rsidP="00954D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36"/>
                <w:szCs w:val="36"/>
                <w:lang w:eastAsia="pl-PL"/>
              </w:rPr>
            </w:pPr>
            <w:r w:rsidRPr="00954D5C">
              <w:rPr>
                <w:rFonts w:ascii="Times New Roman" w:eastAsia="Times New Roman" w:hAnsi="Times New Roman" w:cs="Times New Roman"/>
                <w:b/>
                <w:color w:val="FF0000"/>
                <w:sz w:val="36"/>
                <w:szCs w:val="36"/>
                <w:lang w:eastAsia="pl-PL"/>
              </w:rPr>
              <w:t xml:space="preserve">I nagroda </w:t>
            </w:r>
          </w:p>
          <w:p w:rsidR="00954D5C" w:rsidRDefault="00954D5C" w:rsidP="00954D5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noProof/>
                <w:sz w:val="16"/>
                <w:szCs w:val="16"/>
                <w:lang w:eastAsia="pl-PL"/>
              </w:rPr>
            </w:pPr>
            <w:r w:rsidRPr="00954D5C">
              <w:rPr>
                <w:rFonts w:ascii="Times New Roman" w:eastAsia="Times New Roman" w:hAnsi="Times New Roman" w:cs="Times New Roman"/>
                <w:b/>
                <w:color w:val="FF0000"/>
                <w:sz w:val="36"/>
                <w:szCs w:val="36"/>
                <w:lang w:eastAsia="pl-PL"/>
              </w:rPr>
              <w:t xml:space="preserve">– Klasyfikacja ogólna </w:t>
            </w:r>
            <w:r>
              <w:rPr>
                <w:rFonts w:ascii="Times New Roman" w:eastAsia="Times New Roman" w:hAnsi="Times New Roman" w:cs="Times New Roman"/>
                <w:b/>
                <w:color w:val="FF0000"/>
                <w:sz w:val="36"/>
                <w:szCs w:val="36"/>
                <w:lang w:eastAsia="pl-PL"/>
              </w:rPr>
              <w:t>kobiet</w:t>
            </w:r>
          </w:p>
        </w:tc>
      </w:tr>
    </w:tbl>
    <w:p w:rsidR="00953B4B" w:rsidRDefault="00953B4B"/>
    <w:sectPr w:rsidR="00953B4B" w:rsidSect="00A745F9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5F9"/>
    <w:rsid w:val="00953B4B"/>
    <w:rsid w:val="00954D5C"/>
    <w:rsid w:val="00A745F9"/>
    <w:rsid w:val="00EC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745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45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745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45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21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491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Sławomir Kurpiewski</dc:creator>
  <cp:lastModifiedBy>Sławomir Kurpiewski</cp:lastModifiedBy>
  <cp:revision>3</cp:revision>
  <dcterms:created xsi:type="dcterms:W3CDTF">2012-10-05T16:11:00Z</dcterms:created>
  <dcterms:modified xsi:type="dcterms:W3CDTF">2012-10-05T16:12:00Z</dcterms:modified>
</cp:coreProperties>
</file>